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2022-2023 Erasmus+ Öğrenim Hareketliliği Faaliyetlerine Başvurmuş Öğrencilerimizin Dikkatine!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Bölümümüzden öğrenim hareketliliği için tercih yapmaya hak kazanan adaylarımızın, üniversite seçim işlemleri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 Nisan 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Çarşamba günü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saat 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’d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BUTİK SINIFTA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(A1-01)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gerçekleştirilecektir.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Tercihler başarı sırasına göre sırayla alınacaktır.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İkili anlaşma listesi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5760720" cy="109347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3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Yeşil renk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 yer alan üniversitelere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yerleştirilme yapılacak olup, turuncu renkli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üniversiteler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için görüşmeler devam etmektedir. Bu üniversitelere yerleştirme işlemi, karşı kurumdan onay alınırsa yapılacaktır.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Güncel sıralama, AB ofisi web sayfasında ilan edilmiştir.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 üniversite farklı dil yeterlilikleri talep etmektedir. Dil yeterliliği konusunda gerekli bilgi, başvurulacak üniversitenin web sayfasından edinilebilir. Bu konuda araştırma yapma sorumluluğu öğrenciye aittir.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İkili anlaşma belgeleri, üniversitelerin son başvuru tarihi, kontenjan bilgisi, dil yeterliliği gibi bilgileri içermektedir. Bu yüzden üniversite seçiminizi yaparken bu anlaşmaları da inceleyiniz. Bu anlaşmalara ünive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rsitenin erasmus sayfasından ulaşabilirsiniz.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Staj hareketliliği hakkı kazanan adaylarımız işlemlerini AB ofisi üzerinden halledecektir.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İstatistik Bölümü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ERASMUS Komisyonu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A3098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 w:val="1"/>
    <w:rsid w:val="00A3098C"/>
    <w:rPr>
      <w:b w:val="1"/>
      <w:bCs w:val="1"/>
    </w:rPr>
  </w:style>
  <w:style w:type="character" w:styleId="Kpr">
    <w:name w:val="Hyperlink"/>
    <w:basedOn w:val="VarsaylanParagrafYazTipi"/>
    <w:uiPriority w:val="99"/>
    <w:semiHidden w:val="1"/>
    <w:unhideWhenUsed w:val="1"/>
    <w:rsid w:val="00A3098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 w:val="1"/>
    <w:unhideWhenUsed w:val="1"/>
    <w:rsid w:val="00A3098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7GS3JQJsk/pR+HjaVM3hvKKJOw==">AMUW2mUyaK2OK6UbfRdHh3Ur2trZiu3T734jCs71Q7Vrqf8hfSDD1qqMR6Kf6NPuUvDFEVEYfXnfNz2kzJ13VcEAuO0PzIeZrCHr1Yb4zw7XAh/RaRGf1t6Tu/6QEGFHUPi3ImFtMYKg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2020-02-27T08:34:00Z</dcterms:created>
  <dc:creator>Erhan Çene</dc:creator>
</cp:coreProperties>
</file>